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1A54" w14:textId="77777777" w:rsidR="00A56C62" w:rsidRPr="005673E0" w:rsidRDefault="00A56C62" w:rsidP="005673E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5673E0" w14:paraId="5A98C509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27DE88" w14:textId="40D67D9C" w:rsidR="00484E59" w:rsidRPr="005673E0" w:rsidRDefault="00C755C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E37E603" wp14:editId="36FA713A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90F553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05CE7" w14:textId="77777777" w:rsidR="00484E59" w:rsidRPr="005673E0" w:rsidRDefault="001B7CCA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5673E0" w14:paraId="067060F2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CBD02C" w14:textId="77777777" w:rsidR="00484E59" w:rsidRPr="005673E0" w:rsidRDefault="00484E5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FE0305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C6CB42" w14:textId="77777777" w:rsidR="00484E59" w:rsidRPr="005673E0" w:rsidRDefault="005673E0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5673E0" w14:paraId="1D49571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43DFB6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9FAA5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16841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5673E0" w14:paraId="30C4AF1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9DC54D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6CF33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7A227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5673E0" w14:paraId="54692305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47D3DE1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BB8946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8E2688" w14:textId="77777777" w:rsidR="009A55D7" w:rsidRPr="005673E0" w:rsidRDefault="009D5C09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5673E0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5673E0" w14:paraId="0CEC6796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15B12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F9CB9" w14:textId="77777777" w:rsidR="009A55D7" w:rsidRPr="005673E0" w:rsidRDefault="00A513BD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D6BCCE1" w14:textId="77777777" w:rsidR="00C755C9" w:rsidRDefault="00C755C9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44E9B10" w14:textId="18E64B10" w:rsidR="00484E59" w:rsidRPr="005673E0" w:rsidRDefault="0089285D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27355488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5673E0" w14:paraId="62E67CCA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38A28780" w14:textId="77777777" w:rsidR="00484E59" w:rsidRPr="005673E0" w:rsidRDefault="00206C13" w:rsidP="005673E0">
            <w:pPr>
              <w:pStyle w:val="akarta"/>
              <w:spacing w:before="0" w:after="0" w:line="276" w:lineRule="auto"/>
            </w:pPr>
            <w:r w:rsidRPr="005673E0">
              <w:t xml:space="preserve">Nazwa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4E3503FA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Seminarium dyplomowe</w:t>
            </w:r>
          </w:p>
        </w:tc>
      </w:tr>
      <w:tr w:rsidR="00484E59" w:rsidRPr="005673E0" w14:paraId="4404A315" w14:textId="77777777" w:rsidTr="006C4168">
        <w:tc>
          <w:tcPr>
            <w:tcW w:w="4219" w:type="dxa"/>
            <w:vAlign w:val="center"/>
          </w:tcPr>
          <w:p w14:paraId="3F4E2B9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Punkty ECTS</w:t>
            </w:r>
          </w:p>
        </w:tc>
        <w:tc>
          <w:tcPr>
            <w:tcW w:w="5670" w:type="dxa"/>
            <w:vAlign w:val="center"/>
          </w:tcPr>
          <w:p w14:paraId="34EB5ABC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13</w:t>
            </w:r>
          </w:p>
        </w:tc>
      </w:tr>
      <w:tr w:rsidR="00484E59" w:rsidRPr="005673E0" w14:paraId="2435234F" w14:textId="77777777" w:rsidTr="006C4168">
        <w:tc>
          <w:tcPr>
            <w:tcW w:w="4219" w:type="dxa"/>
            <w:vAlign w:val="center"/>
          </w:tcPr>
          <w:p w14:paraId="00F12CBB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Rodzaj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3F4DBC14" w14:textId="77777777" w:rsidR="00484E59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obowiązkowe/</w:t>
            </w:r>
            <w:r w:rsidRPr="005673E0">
              <w:rPr>
                <w:strike/>
              </w:rPr>
              <w:t>obieralne</w:t>
            </w:r>
          </w:p>
        </w:tc>
      </w:tr>
      <w:tr w:rsidR="009A55D7" w:rsidRPr="005673E0" w14:paraId="0262D189" w14:textId="77777777" w:rsidTr="006C4168">
        <w:tc>
          <w:tcPr>
            <w:tcW w:w="4219" w:type="dxa"/>
            <w:vAlign w:val="center"/>
          </w:tcPr>
          <w:p w14:paraId="25985D0D" w14:textId="77777777" w:rsidR="009A55D7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Moduł/specjalizacja</w:t>
            </w:r>
          </w:p>
        </w:tc>
        <w:tc>
          <w:tcPr>
            <w:tcW w:w="5670" w:type="dxa"/>
            <w:vAlign w:val="center"/>
          </w:tcPr>
          <w:p w14:paraId="61367CE9" w14:textId="77777777" w:rsidR="009A55D7" w:rsidRPr="005673E0" w:rsidRDefault="00A513BD" w:rsidP="005673E0">
            <w:pPr>
              <w:pStyle w:val="akarta"/>
              <w:spacing w:before="0" w:after="0" w:line="276" w:lineRule="auto"/>
            </w:pPr>
            <w:r w:rsidRPr="005673E0">
              <w:t>-</w:t>
            </w:r>
          </w:p>
        </w:tc>
      </w:tr>
      <w:tr w:rsidR="00484E59" w:rsidRPr="005673E0" w14:paraId="695CA7DD" w14:textId="77777777" w:rsidTr="006C4168">
        <w:tc>
          <w:tcPr>
            <w:tcW w:w="4219" w:type="dxa"/>
            <w:vAlign w:val="center"/>
          </w:tcPr>
          <w:p w14:paraId="240D34E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Język</w:t>
            </w:r>
            <w:r w:rsidR="009A55D7" w:rsidRPr="005673E0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9B394B5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Polski</w:t>
            </w:r>
          </w:p>
        </w:tc>
      </w:tr>
      <w:tr w:rsidR="00484E59" w:rsidRPr="005673E0" w14:paraId="00F0D4C5" w14:textId="77777777" w:rsidTr="006C4168">
        <w:tc>
          <w:tcPr>
            <w:tcW w:w="4219" w:type="dxa"/>
            <w:vAlign w:val="center"/>
          </w:tcPr>
          <w:p w14:paraId="22A0A766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Rok studiów</w:t>
            </w:r>
          </w:p>
        </w:tc>
        <w:tc>
          <w:tcPr>
            <w:tcW w:w="5670" w:type="dxa"/>
            <w:vAlign w:val="center"/>
          </w:tcPr>
          <w:p w14:paraId="0842ACEE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3,4</w:t>
            </w:r>
          </w:p>
        </w:tc>
      </w:tr>
      <w:tr w:rsidR="00484E59" w:rsidRPr="005673E0" w14:paraId="02636ACD" w14:textId="77777777" w:rsidTr="006C4168">
        <w:tc>
          <w:tcPr>
            <w:tcW w:w="4219" w:type="dxa"/>
            <w:vAlign w:val="center"/>
          </w:tcPr>
          <w:p w14:paraId="321F46C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Imię i nazwisko koordynatora </w:t>
            </w:r>
            <w:r w:rsidR="009A55D7" w:rsidRPr="005673E0">
              <w:t>zajęć</w:t>
            </w:r>
            <w:r w:rsidRPr="005673E0">
              <w:t xml:space="preserve"> oraz </w:t>
            </w:r>
            <w:r w:rsidR="009A55D7" w:rsidRPr="005673E0">
              <w:t xml:space="preserve">osób </w:t>
            </w:r>
            <w:r w:rsidRPr="005673E0">
              <w:t>prowadzących zajęcia</w:t>
            </w:r>
          </w:p>
        </w:tc>
        <w:tc>
          <w:tcPr>
            <w:tcW w:w="5670" w:type="dxa"/>
            <w:vAlign w:val="center"/>
          </w:tcPr>
          <w:p w14:paraId="74EB4FDB" w14:textId="77777777" w:rsidR="00484E59" w:rsidRPr="00C755C9" w:rsidRDefault="001B7CCA" w:rsidP="005673E0">
            <w:pPr>
              <w:pStyle w:val="akarta"/>
              <w:spacing w:before="0" w:after="0" w:line="276" w:lineRule="auto"/>
            </w:pPr>
            <w:r w:rsidRPr="00C755C9">
              <w:t xml:space="preserve">Prof. dr hab. inż. </w:t>
            </w:r>
            <w:r w:rsidR="005673E0" w:rsidRPr="00C755C9">
              <w:t>Wojciech Kacalak</w:t>
            </w:r>
          </w:p>
        </w:tc>
      </w:tr>
    </w:tbl>
    <w:p w14:paraId="3B04FB7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2EBDAC" w14:textId="77777777" w:rsidR="008F0676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5673E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5673E0" w14:paraId="315C1710" w14:textId="77777777" w:rsidTr="00C755C9">
        <w:tc>
          <w:tcPr>
            <w:tcW w:w="2502" w:type="dxa"/>
            <w:shd w:val="clear" w:color="auto" w:fill="auto"/>
            <w:vAlign w:val="center"/>
          </w:tcPr>
          <w:p w14:paraId="212F52F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1C7A70C" w14:textId="77777777" w:rsidR="00C755C9" w:rsidRPr="00265F0E" w:rsidRDefault="00C755C9" w:rsidP="00C755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8F9624" w14:textId="636023F1" w:rsidR="00BC1118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27FC1F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A3FEC6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755C9" w:rsidRPr="005673E0" w14:paraId="27517388" w14:textId="77777777" w:rsidTr="00C755C9">
        <w:tc>
          <w:tcPr>
            <w:tcW w:w="2502" w:type="dxa"/>
            <w:shd w:val="clear" w:color="auto" w:fill="auto"/>
          </w:tcPr>
          <w:p w14:paraId="34ED81C7" w14:textId="71481608" w:rsidR="00C755C9" w:rsidRPr="005673E0" w:rsidRDefault="00C755C9" w:rsidP="00C755C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6987547" w14:textId="1D04E38B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1D7F14B" w14:textId="35863DB6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0450B58C" w14:textId="77777777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56A48CB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B62717" w14:textId="77777777" w:rsidR="001B7CCA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5673E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44064717" w14:textId="77777777" w:rsidR="001B7CCA" w:rsidRPr="005673E0" w:rsidRDefault="001B7CCA" w:rsidP="005673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3FE21DDE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A09654" w14:textId="77777777" w:rsidR="002B20F7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5673E0" w14:paraId="52C10256" w14:textId="77777777" w:rsidTr="000478AF">
        <w:tc>
          <w:tcPr>
            <w:tcW w:w="9889" w:type="dxa"/>
            <w:shd w:val="clear" w:color="auto" w:fill="auto"/>
          </w:tcPr>
          <w:p w14:paraId="0BB3F5B3" w14:textId="77777777" w:rsidR="001B7CCA" w:rsidRPr="005673E0" w:rsidRDefault="009A55D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mechaniką i budową maszyn.</w:t>
            </w:r>
          </w:p>
          <w:p w14:paraId="11E59E0F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30ED6A9C" w14:textId="77777777" w:rsidR="009A55D7" w:rsidRPr="005673E0" w:rsidRDefault="001B7CCA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  <w:r w:rsidR="009D5C09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1F1FAF40" w14:textId="77777777" w:rsidR="009D5C09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D92F628" w14:textId="77777777" w:rsidR="009A55D7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29FA1015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7947CE44" w14:textId="77777777" w:rsidR="001B7CCA" w:rsidRPr="005673E0" w:rsidRDefault="001B7CCA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39D2C571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5673E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5673E0" w14:paraId="49ABF14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ED558B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F79900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B5773C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5673E0" w14:paraId="1DE87483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454A26F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673E0" w:rsidRPr="005673E0" w14:paraId="4C68052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CA868D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998BB91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ma wiedzę w zakresie standardów i norm technicznych związanych z przesyłaniem, przechowywaniem i przetwarzaniem informacji.</w:t>
            </w:r>
          </w:p>
        </w:tc>
        <w:tc>
          <w:tcPr>
            <w:tcW w:w="1732" w:type="dxa"/>
            <w:shd w:val="clear" w:color="auto" w:fill="auto"/>
          </w:tcPr>
          <w:p w14:paraId="23609CB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673E0" w:rsidRPr="005673E0" w14:paraId="6C3A76C5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B3EC7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7C4314F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color w:val="000000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32" w:type="dxa"/>
            <w:shd w:val="clear" w:color="auto" w:fill="auto"/>
          </w:tcPr>
          <w:p w14:paraId="1CA4757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K_W16</w:t>
            </w:r>
          </w:p>
        </w:tc>
      </w:tr>
      <w:tr w:rsidR="005673E0" w:rsidRPr="005673E0" w14:paraId="6EC3B5C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EB5409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403A978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orientuje się w obecnym stanie oraz trendach rozwojowych mechaniki i budowy maszyn</w:t>
            </w:r>
          </w:p>
        </w:tc>
        <w:tc>
          <w:tcPr>
            <w:tcW w:w="1732" w:type="dxa"/>
            <w:shd w:val="clear" w:color="auto" w:fill="auto"/>
          </w:tcPr>
          <w:p w14:paraId="4B89566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K_W15</w:t>
            </w:r>
          </w:p>
        </w:tc>
      </w:tr>
      <w:tr w:rsidR="00BC1118" w:rsidRPr="005673E0" w14:paraId="312FF38D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520AA3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673E0" w:rsidRPr="005673E0" w14:paraId="4ED2DC9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9F38B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24EE1A6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3733871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5673E0" w:rsidRPr="005673E0" w14:paraId="60BC195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6484A4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D413283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</w:tcPr>
          <w:p w14:paraId="593BA880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K_U26</w:t>
            </w:r>
          </w:p>
        </w:tc>
      </w:tr>
      <w:tr w:rsidR="005673E0" w:rsidRPr="005673E0" w14:paraId="3E359B0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249BC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6783F10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3E181DA2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K_U24 </w:t>
            </w:r>
          </w:p>
        </w:tc>
      </w:tr>
      <w:tr w:rsidR="005673E0" w:rsidRPr="005673E0" w14:paraId="14E52AE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885652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6E646346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1C416C5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5673E0" w:rsidRPr="005673E0" w14:paraId="1B60E45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AAD035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52024C42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</w:tcPr>
          <w:p w14:paraId="3D3452FF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5673E0" w:rsidRPr="005673E0" w14:paraId="597FAEE0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25BAE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1580C23C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</w:tcPr>
          <w:p w14:paraId="07A82AD4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K_U20 </w:t>
            </w:r>
          </w:p>
        </w:tc>
      </w:tr>
      <w:tr w:rsidR="000A4B77" w:rsidRPr="005673E0" w14:paraId="3D2CE2C0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64B97E" w14:textId="77777777" w:rsidR="000A4B77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673E0" w:rsidRPr="005673E0" w14:paraId="76B846A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03C0A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101DB5E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6F49A127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K_K01 </w:t>
            </w:r>
          </w:p>
        </w:tc>
      </w:tr>
      <w:tr w:rsidR="005673E0" w:rsidRPr="005673E0" w14:paraId="58F91007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7C889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29184D7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63A20079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K_K02 </w:t>
            </w:r>
          </w:p>
        </w:tc>
      </w:tr>
      <w:tr w:rsidR="005673E0" w:rsidRPr="005673E0" w14:paraId="6E0C19D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E8AFD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2AAF8A87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</w:tcPr>
          <w:p w14:paraId="2B621D55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K_K05</w:t>
            </w:r>
          </w:p>
        </w:tc>
      </w:tr>
    </w:tbl>
    <w:p w14:paraId="6149719A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9808DF" w14:textId="77777777" w:rsidR="000A4B77" w:rsidRPr="005673E0" w:rsidRDefault="002030AE" w:rsidP="005673E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5673E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5673E0">
        <w:rPr>
          <w:rFonts w:ascii="Cambria" w:hAnsi="Cambria" w:cs="Times New Roman"/>
          <w:b/>
          <w:bCs/>
          <w:sz w:val="20"/>
          <w:szCs w:val="20"/>
        </w:rPr>
        <w:t>zajęć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5673E0" w14:paraId="5F0D152A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2A6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Lp.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9D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Treści seminarium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0FA5" w14:textId="77777777" w:rsidR="000A4B77" w:rsidRPr="005673E0" w:rsidRDefault="000A4B77" w:rsidP="005673E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Liczba godzin na studiach </w:t>
            </w:r>
          </w:p>
        </w:tc>
      </w:tr>
      <w:tr w:rsidR="000A4B77" w:rsidRPr="005673E0" w14:paraId="1E084A3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DF8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F2E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C47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stacjonarnych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D6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niestacjonarnych </w:t>
            </w:r>
          </w:p>
        </w:tc>
      </w:tr>
      <w:tr w:rsidR="000A4B77" w:rsidRPr="005673E0" w14:paraId="62E0E4CA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4F9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 </w:t>
            </w:r>
          </w:p>
        </w:tc>
      </w:tr>
      <w:tr w:rsidR="000A4B77" w:rsidRPr="005673E0" w14:paraId="59B1AED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F5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600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5AC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A8F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0381A30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C85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A84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144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734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9DCC519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A99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384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E24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89E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FB84B04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1EA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E7CE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A79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6EC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3EEB1D99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E08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492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1F4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9C2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624BCA0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59B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80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B81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06D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3B09BBA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217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95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46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177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669DDA9B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2ACD" w14:textId="77777777" w:rsidR="000A4B77" w:rsidRPr="005673E0" w:rsidRDefault="000A4B77" w:rsidP="005673E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 </w:t>
            </w:r>
          </w:p>
        </w:tc>
      </w:tr>
      <w:tr w:rsidR="000A4B77" w:rsidRPr="005673E0" w14:paraId="255237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47D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0E8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323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7F0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8A6D293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B0E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6F6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81F6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6F0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C00CEA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1DE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123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A60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BFB7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B9BECD8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00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E5A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Symulacja procesów i systemów.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091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CE9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DD0AD1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00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56C6" w14:textId="77777777" w:rsidR="000A4B77" w:rsidRPr="005673E0" w:rsidRDefault="000A4B77" w:rsidP="005673E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C5A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0B0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FE2996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CBA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2D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3AD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99AC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A34D01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1214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5C1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A0A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6A5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2B51F7C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00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VII </w:t>
            </w:r>
          </w:p>
        </w:tc>
      </w:tr>
      <w:tr w:rsidR="000A4B77" w:rsidRPr="005673E0" w14:paraId="561F5BA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175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24D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 procesów i systemów.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7F6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C32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07AEDDD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17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541A" w14:textId="77777777" w:rsidR="000A4B77" w:rsidRPr="005673E0" w:rsidRDefault="000A4B77" w:rsidP="005673E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A22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D19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6338B6EB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FB9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CF6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E86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A708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3B74D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4D7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480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981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E99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884221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E83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C2E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 Plagiat.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9BC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ABB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9033995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60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5C1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 prezentacji pracy dyplomowej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141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03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13B41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C89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434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401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231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5873406D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35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7C1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Razem liczba godzin seminarium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8ED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C99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87B6864" w14:textId="77777777" w:rsidR="0089285D" w:rsidRPr="005673E0" w:rsidRDefault="0089285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60B985" w14:textId="77777777" w:rsidR="000A4B77" w:rsidRPr="005673E0" w:rsidRDefault="00097F52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5673E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5673E0" w14:paraId="060BCE7E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DA1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75B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447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Środki dydaktyczne </w:t>
            </w:r>
          </w:p>
        </w:tc>
      </w:tr>
      <w:tr w:rsidR="000A4B77" w:rsidRPr="005673E0" w14:paraId="171639A7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5BA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Projekt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62D2" w14:textId="77777777" w:rsidR="000A4B77" w:rsidRPr="005673E0" w:rsidRDefault="000A4B77" w:rsidP="005673E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585F8DE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4FA929AD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27B0A133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3E24E2B7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615F" w14:textId="77777777" w:rsidR="000A4B77" w:rsidRPr="005673E0" w:rsidRDefault="000A4B77" w:rsidP="005673E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Projektor, tablica </w:t>
            </w:r>
          </w:p>
        </w:tc>
      </w:tr>
    </w:tbl>
    <w:p w14:paraId="4AAE81BA" w14:textId="77777777" w:rsidR="000A4B77" w:rsidRPr="005673E0" w:rsidRDefault="000A4B77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B3900B" w14:textId="77777777" w:rsidR="00490FC9" w:rsidRPr="005673E0" w:rsidRDefault="00490FC9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A9B6CF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5673E0" w14:paraId="053B3B60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01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5926B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D70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277D19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5673E0" w14:paraId="525D1961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808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DA7A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39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(wybór z listy) </w:t>
            </w:r>
          </w:p>
        </w:tc>
      </w:tr>
      <w:tr w:rsidR="000A4B77" w:rsidRPr="005673E0" w14:paraId="78D12A81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8B8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C751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1844242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092BA8B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1EF6" w14:textId="77777777" w:rsidR="000A4B77" w:rsidRPr="005673E0" w:rsidRDefault="000A4B77" w:rsidP="005673E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54C332" w14:textId="77777777" w:rsidR="000A4B77" w:rsidRPr="005673E0" w:rsidRDefault="000A4B77" w:rsidP="005673E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0B5892CC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04605E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5673E0">
        <w:rPr>
          <w:rFonts w:ascii="Cambria" w:hAnsi="Cambria" w:cs="Times New Roman"/>
          <w:b/>
          <w:sz w:val="20"/>
          <w:szCs w:val="20"/>
        </w:rPr>
        <w:t>8.2.</w:t>
      </w:r>
      <w:r w:rsidR="00B82301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5673E0">
        <w:rPr>
          <w:rFonts w:ascii="Cambria" w:hAnsi="Cambria" w:cs="Times New Roman"/>
          <w:b/>
          <w:sz w:val="20"/>
          <w:szCs w:val="20"/>
        </w:rPr>
        <w:t>etody</w:t>
      </w:r>
      <w:r w:rsidRPr="005673E0">
        <w:rPr>
          <w:rFonts w:ascii="Cambria" w:hAnsi="Cambria" w:cs="Times New Roman"/>
          <w:b/>
          <w:sz w:val="20"/>
          <w:szCs w:val="20"/>
        </w:rPr>
        <w:t>)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5673E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5673E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5673E0" w14:paraId="733A55E9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E23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Symbol efektu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7F6F2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D826F4" w14:textId="77777777" w:rsidR="000A4B77" w:rsidRPr="005673E0" w:rsidRDefault="000A4B77" w:rsidP="005673E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Seminarium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14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3C84CCA9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D0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4D9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5459" w14:textId="77777777" w:rsidR="000A4B77" w:rsidRPr="005673E0" w:rsidRDefault="000A4B77" w:rsidP="005673E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954C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82F1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149E" w14:textId="77777777" w:rsidR="000A4B77" w:rsidRPr="005673E0" w:rsidRDefault="000A4B77" w:rsidP="005673E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5673E0" w14:paraId="413681F3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526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04B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CFA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C28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DFB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B42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13874369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1BF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F67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28F8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B33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5DC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7D1B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5673E0" w14:paraId="231F88A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DB60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CF9C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766E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1CD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78B7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FF4B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128D69F7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850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E64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483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D51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E5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AE74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6A9B53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E9B1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017A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07C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552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D76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C93B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7E2636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2EE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8D5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18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80A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7EBB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BEE0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5F58FF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34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F02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C45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11B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1236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8A11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3E2CBF8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857E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044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A30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7348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5C4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23A8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5C0C6E01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22D6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5D8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0D6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8CE1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4066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466D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9CC1345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153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050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7E6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E8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85EA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466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576AD1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11D7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1B6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18E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92B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0637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4B84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21C716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D8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781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BD3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AD5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857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0BC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DA8E759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C028BD" w14:textId="77777777" w:rsidR="002030AE" w:rsidRPr="005673E0" w:rsidRDefault="000A4B77" w:rsidP="005673E0">
      <w:pPr>
        <w:spacing w:after="0"/>
        <w:rPr>
          <w:rFonts w:ascii="Cambria" w:hAnsi="Cambria"/>
          <w:sz w:val="20"/>
          <w:szCs w:val="20"/>
        </w:rPr>
      </w:pPr>
      <w:r w:rsidRPr="005673E0">
        <w:rPr>
          <w:rFonts w:ascii="Cambria" w:hAnsi="Cambria"/>
          <w:sz w:val="20"/>
          <w:szCs w:val="20"/>
        </w:rPr>
        <w:t xml:space="preserve"> </w:t>
      </w:r>
      <w:r w:rsidR="002344B5" w:rsidRPr="005673E0">
        <w:rPr>
          <w:rFonts w:ascii="Cambria" w:hAnsi="Cambria"/>
          <w:sz w:val="20"/>
          <w:szCs w:val="20"/>
        </w:rPr>
        <w:t>9</w:t>
      </w:r>
      <w:r w:rsidR="002030AE" w:rsidRPr="005673E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5673E0">
        <w:rPr>
          <w:rFonts w:ascii="Cambria" w:hAnsi="Cambria"/>
          <w:b/>
          <w:bCs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</w:t>
      </w:r>
      <w:r w:rsidR="002030AE" w:rsidRPr="005673E0">
        <w:rPr>
          <w:rFonts w:ascii="Cambria" w:hAnsi="Cambria"/>
          <w:b/>
          <w:bCs/>
          <w:sz w:val="20"/>
          <w:szCs w:val="20"/>
        </w:rPr>
        <w:lastRenderedPageBreak/>
        <w:t>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5673E0" w14:paraId="66F655BF" w14:textId="77777777" w:rsidTr="000478AF">
        <w:trPr>
          <w:trHeight w:val="93"/>
          <w:jc w:val="center"/>
        </w:trPr>
        <w:tc>
          <w:tcPr>
            <w:tcW w:w="9907" w:type="dxa"/>
          </w:tcPr>
          <w:p w14:paraId="7DE7813F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5563CA2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673E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5673E0" w14:paraId="1AEB8E97" w14:textId="77777777" w:rsidTr="003676DE">
              <w:tc>
                <w:tcPr>
                  <w:tcW w:w="4531" w:type="dxa"/>
                  <w:shd w:val="clear" w:color="auto" w:fill="auto"/>
                </w:tcPr>
                <w:p w14:paraId="4860D84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57372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5673E0" w14:paraId="718FFA50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C9EBE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6BEDD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5673E0" w14:paraId="108CAE9B" w14:textId="77777777" w:rsidTr="003676DE">
              <w:tc>
                <w:tcPr>
                  <w:tcW w:w="4531" w:type="dxa"/>
                  <w:shd w:val="clear" w:color="auto" w:fill="auto"/>
                </w:tcPr>
                <w:p w14:paraId="3B82CB8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C67BE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5673E0" w14:paraId="0C8B8D02" w14:textId="77777777" w:rsidTr="003676DE">
              <w:tc>
                <w:tcPr>
                  <w:tcW w:w="4531" w:type="dxa"/>
                  <w:shd w:val="clear" w:color="auto" w:fill="auto"/>
                </w:tcPr>
                <w:p w14:paraId="001327A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E620F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5673E0" w14:paraId="6214FB36" w14:textId="77777777" w:rsidTr="003676DE">
              <w:tc>
                <w:tcPr>
                  <w:tcW w:w="4531" w:type="dxa"/>
                  <w:shd w:val="clear" w:color="auto" w:fill="auto"/>
                </w:tcPr>
                <w:p w14:paraId="60AD4EC8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B42C50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5673E0" w14:paraId="0A65C918" w14:textId="77777777" w:rsidTr="003676DE">
              <w:tc>
                <w:tcPr>
                  <w:tcW w:w="4531" w:type="dxa"/>
                  <w:shd w:val="clear" w:color="auto" w:fill="auto"/>
                </w:tcPr>
                <w:p w14:paraId="59F6341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39184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5673E0" w14:paraId="433C66E2" w14:textId="77777777" w:rsidTr="003676DE">
              <w:tc>
                <w:tcPr>
                  <w:tcW w:w="4531" w:type="dxa"/>
                  <w:shd w:val="clear" w:color="auto" w:fill="auto"/>
                </w:tcPr>
                <w:p w14:paraId="7DE05B02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104BE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43CC02" w14:textId="77777777" w:rsidR="002030AE" w:rsidRPr="005673E0" w:rsidRDefault="002030AE" w:rsidP="005673E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34465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1EFA19A" w14:textId="77777777" w:rsidR="002030AE" w:rsidRPr="005673E0" w:rsidRDefault="002344B5" w:rsidP="005673E0">
      <w:pPr>
        <w:pStyle w:val="Legenda"/>
        <w:spacing w:after="0"/>
        <w:rPr>
          <w:rFonts w:ascii="Cambria" w:hAnsi="Cambria"/>
          <w:color w:val="FF0000"/>
        </w:rPr>
      </w:pPr>
      <w:r w:rsidRPr="005673E0">
        <w:rPr>
          <w:rFonts w:ascii="Cambria" w:hAnsi="Cambria"/>
        </w:rPr>
        <w:t>10</w:t>
      </w:r>
      <w:r w:rsidR="002030AE" w:rsidRPr="005673E0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5673E0" w14:paraId="1AECACBF" w14:textId="77777777" w:rsidTr="000478AF">
        <w:trPr>
          <w:trHeight w:val="540"/>
          <w:jc w:val="center"/>
        </w:trPr>
        <w:tc>
          <w:tcPr>
            <w:tcW w:w="9923" w:type="dxa"/>
          </w:tcPr>
          <w:p w14:paraId="21176E3C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5673E0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04ABD0AA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E70C2DA" w14:textId="77777777" w:rsidR="002030AE" w:rsidRPr="005673E0" w:rsidRDefault="002030AE" w:rsidP="005673E0">
      <w:pPr>
        <w:pStyle w:val="Legenda"/>
        <w:spacing w:after="0"/>
        <w:rPr>
          <w:rFonts w:ascii="Cambria" w:hAnsi="Cambria"/>
          <w:b w:val="0"/>
          <w:bCs w:val="0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1</w:t>
      </w:r>
      <w:r w:rsidRPr="005673E0">
        <w:rPr>
          <w:rFonts w:ascii="Cambria" w:hAnsi="Cambria"/>
        </w:rPr>
        <w:t xml:space="preserve">. Obciążenie pracą studenta </w:t>
      </w:r>
      <w:r w:rsidRPr="005673E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5673E0" w14:paraId="32074CF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00EC5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372C8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5673E0" w14:paraId="4B2CE08F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1095B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70CF89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D68EB1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5673E0" w14:paraId="577F42A1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FBA00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5673E0" w14:paraId="2490254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2BEFE8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3D1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F46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5673E0" w14:paraId="2B044B2A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2F094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5673E0" w14:paraId="7C00A48C" w14:textId="77777777" w:rsidTr="00C755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453A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9A0A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2E8C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5673E0" w14:paraId="697C3807" w14:textId="77777777" w:rsidTr="00C755C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A15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4EC6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BEEC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14EA7768" w14:textId="77777777" w:rsidTr="00C755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4BA5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D062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1878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5673E0" w14:paraId="43622FEA" w14:textId="77777777" w:rsidTr="00C755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930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F02B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9B27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1B99E487" w14:textId="77777777" w:rsidTr="00C755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A84" w14:textId="77777777" w:rsidR="002030AE" w:rsidRPr="005673E0" w:rsidRDefault="000A4B77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A0E0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5977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5673E0" w14:paraId="4BFEEA35" w14:textId="77777777" w:rsidTr="00C755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E50A" w14:textId="79FA3F83" w:rsidR="002030AE" w:rsidRPr="005673E0" w:rsidRDefault="002030AE" w:rsidP="00C755C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7A95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10B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5673E0" w14:paraId="6F19BC55" w14:textId="77777777" w:rsidTr="00C755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CCCC" w14:textId="77777777" w:rsidR="002030AE" w:rsidRPr="005673E0" w:rsidRDefault="002030AE" w:rsidP="005673E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63E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A52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495AE9B0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3FC3D27D" w14:textId="77777777" w:rsidR="000A4B77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2</w:t>
      </w:r>
      <w:r w:rsidRPr="005673E0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5673E0" w14:paraId="217C7F3C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DF2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obowiązkowa: </w:t>
            </w:r>
          </w:p>
          <w:p w14:paraId="76748C0C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702DAC3B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Źródła internetowe.  </w:t>
            </w:r>
          </w:p>
          <w:p w14:paraId="233547A6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4E0A7AA7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104039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5673E0" w14:paraId="05A37DD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E0F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Literatura zalecana / fakultatywna: </w:t>
            </w:r>
          </w:p>
          <w:p w14:paraId="21A73440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268C45A8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E58FFAA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67552174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47F1535B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RolniczoTechniczna w Olsztynie, Olsztyn, 1999. </w:t>
            </w:r>
          </w:p>
          <w:p w14:paraId="10179956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Gworys, Pisanie i redagowanie prac dyplomowych: poradnik dla studentów, Politechnika Częstochowska, Częstochowa, 1997. </w:t>
            </w:r>
          </w:p>
          <w:p w14:paraId="74623275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7636B7E0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2C38F281" w14:textId="77777777" w:rsidR="000A4B77" w:rsidRPr="005673E0" w:rsidRDefault="000A4B77" w:rsidP="005673E0">
            <w:pPr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FBC0885" w14:textId="77777777" w:rsidR="000A4B77" w:rsidRPr="005673E0" w:rsidRDefault="000A4B77" w:rsidP="005673E0">
            <w:pPr>
              <w:numPr>
                <w:ilvl w:val="0"/>
                <w:numId w:val="12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Michna,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0B9F9F0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5673E0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Strony internetowe </w:t>
            </w:r>
          </w:p>
        </w:tc>
      </w:tr>
    </w:tbl>
    <w:p w14:paraId="6C1EAB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6F9F2DF2" w14:textId="77777777" w:rsidR="002030AE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3</w:t>
      </w:r>
      <w:r w:rsidRPr="005673E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5673E0" w14:paraId="470D228B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8B28FEE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487069" w14:textId="77777777" w:rsidR="002030AE" w:rsidRPr="00C755C9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5C9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5673E0" w:rsidRPr="00C755C9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2030AE" w:rsidRPr="005673E0" w14:paraId="7ED0499C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DF30363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ED5E573" w14:textId="3DADDA23" w:rsidR="002030AE" w:rsidRPr="005673E0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04848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030AE" w:rsidRPr="005673E0" w14:paraId="2796548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17A4E7E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C6130B5" w14:textId="77777777" w:rsidR="002030AE" w:rsidRPr="005673E0" w:rsidRDefault="0000000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5673E0" w:rsidRPr="00E501A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wkacalak@ajp.edu.pl</w:t>
              </w:r>
            </w:hyperlink>
          </w:p>
        </w:tc>
      </w:tr>
      <w:tr w:rsidR="002030AE" w:rsidRPr="005673E0" w14:paraId="2820029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D36023B" w14:textId="77777777" w:rsidR="002030AE" w:rsidRPr="005673E0" w:rsidRDefault="009D5C09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C0071F1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10451A" w14:textId="77777777" w:rsidR="009C0F92" w:rsidRPr="005673E0" w:rsidRDefault="009C0F92" w:rsidP="005673E0">
      <w:pPr>
        <w:spacing w:after="0"/>
        <w:rPr>
          <w:rFonts w:ascii="Cambria" w:hAnsi="Cambria" w:cs="Times New Roman"/>
          <w:sz w:val="20"/>
          <w:szCs w:val="20"/>
        </w:rPr>
      </w:pPr>
    </w:p>
    <w:p w14:paraId="70421498" w14:textId="79A80DA4" w:rsidR="567124F1" w:rsidRDefault="567124F1" w:rsidP="567124F1">
      <w:pPr>
        <w:spacing w:after="0"/>
      </w:pPr>
    </w:p>
    <w:p w14:paraId="38B1D4D1" w14:textId="196964AB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0813934" w14:textId="77777777" w:rsidR="00986733" w:rsidRDefault="00986733">
      <w:r>
        <w:br w:type="page"/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567124F1" w14:paraId="38F0EC31" w14:textId="77777777" w:rsidTr="00986733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F01C8" w14:textId="45873ECE" w:rsidR="567124F1" w:rsidRDefault="567124F1" w:rsidP="567124F1">
            <w:pPr>
              <w:spacing w:after="0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F4ACAA" wp14:editId="6FFBA1DF">
                  <wp:extent cx="857250" cy="857250"/>
                  <wp:effectExtent l="0" t="0" r="0" b="0"/>
                  <wp:docPr id="379358389" name="Obraz 379358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F0A838" w14:textId="1B0351B1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8CF80F" w14:textId="2E5FF89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Techniczny </w:t>
            </w:r>
          </w:p>
        </w:tc>
      </w:tr>
      <w:tr w:rsidR="567124F1" w14:paraId="03CCC645" w14:textId="77777777" w:rsidTr="00986733">
        <w:trPr>
          <w:trHeight w:val="270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8F505A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ECF51C" w14:textId="32A1DDEC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DB903" w14:textId="060B2335" w:rsidR="38A9A494" w:rsidRDefault="38A9A494" w:rsidP="567124F1">
            <w:pPr>
              <w:spacing w:after="0"/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Mechanika i budowa maszyn</w:t>
            </w:r>
          </w:p>
        </w:tc>
      </w:tr>
      <w:tr w:rsidR="567124F1" w14:paraId="6A81B1A3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AAE604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03668" w14:textId="0AAAD632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05D49" w14:textId="1F7F53F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567124F1" w14:paraId="0E1FDBCF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385A1E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484913" w14:textId="03FEE35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AE98BD" w14:textId="285AFD6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567124F1" w14:paraId="081B95D9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CD5E0D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6B75A" w14:textId="69DCE035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12283" w14:textId="50D89999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567124F1" w14:paraId="170E8F22" w14:textId="77777777" w:rsidTr="00986733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D5462" w14:textId="1BAF3E2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835CF" w14:textId="20622723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D.1</w:t>
            </w:r>
            <w:r w:rsidR="00562F0E">
              <w:rPr>
                <w:rFonts w:ascii="Cambria" w:eastAsia="Cambria" w:hAnsi="Cambria" w:cs="Cambria"/>
                <w:sz w:val="20"/>
                <w:szCs w:val="20"/>
              </w:rPr>
              <w:t>, D.2, D.3</w:t>
            </w:r>
          </w:p>
        </w:tc>
      </w:tr>
    </w:tbl>
    <w:p w14:paraId="2746AEBB" w14:textId="35318183" w:rsidR="1126B81F" w:rsidRDefault="1126B81F" w:rsidP="567124F1">
      <w:pPr>
        <w:spacing w:before="240" w:after="240" w:line="240" w:lineRule="auto"/>
        <w:jc w:val="center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KARTA ZAJĘĆ</w:t>
      </w:r>
    </w:p>
    <w:p w14:paraId="574EB109" w14:textId="7CD1E07D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67124F1" w14:paraId="2C192AF7" w14:textId="77777777" w:rsidTr="567124F1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8070" w14:textId="7C36CDE6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E90" w14:textId="78EEFC7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Praktyka zawodowa</w:t>
            </w:r>
          </w:p>
        </w:tc>
      </w:tr>
      <w:tr w:rsidR="567124F1" w14:paraId="11E10D8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A7F2" w14:textId="222BA618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41B2" w14:textId="40C4D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36</w:t>
            </w:r>
          </w:p>
        </w:tc>
      </w:tr>
      <w:tr w:rsidR="567124F1" w14:paraId="747E7A9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500C" w14:textId="46265AFD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CDBD" w14:textId="2398C4C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obowiązkowe/</w:t>
            </w:r>
            <w:r w:rsidRPr="567124F1">
              <w:rPr>
                <w:rFonts w:eastAsia="Cambria" w:cs="Cambria"/>
                <w:bCs/>
                <w:iCs w:val="0"/>
                <w:strike/>
              </w:rPr>
              <w:t>obieralne</w:t>
            </w:r>
          </w:p>
        </w:tc>
      </w:tr>
      <w:tr w:rsidR="567124F1" w14:paraId="6DA39610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FC72" w14:textId="5CC9B21C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D18A" w14:textId="5C2755D1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Dyplomowanie i praktyka</w:t>
            </w:r>
          </w:p>
        </w:tc>
      </w:tr>
      <w:tr w:rsidR="567124F1" w14:paraId="7805BFC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B542" w14:textId="6A29EEF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CBEE" w14:textId="676A3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polski</w:t>
            </w:r>
          </w:p>
        </w:tc>
      </w:tr>
      <w:tr w:rsidR="567124F1" w14:paraId="0EADBF36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D34F" w14:textId="527FB28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ED91" w14:textId="1D90C9C7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2, 3, 4</w:t>
            </w:r>
          </w:p>
        </w:tc>
      </w:tr>
      <w:tr w:rsidR="567124F1" w14:paraId="582F275D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7D77" w14:textId="4741AD40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FAD5" w14:textId="7D79553B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dr Rafał Różański</w:t>
            </w:r>
          </w:p>
        </w:tc>
      </w:tr>
    </w:tbl>
    <w:p w14:paraId="0F20FD43" w14:textId="4BC80884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4"/>
        <w:gridCol w:w="2345"/>
        <w:gridCol w:w="2199"/>
        <w:gridCol w:w="2492"/>
      </w:tblGrid>
      <w:tr w:rsidR="567124F1" w14:paraId="62F8229F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A1E1" w14:textId="32B5BC9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3DD48" w14:textId="35686376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2C9D" w14:textId="26007584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3A2C" w14:textId="723FDDA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567124F1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567124F1" w14:paraId="4B7587C4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0668" w14:textId="583E6FB5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381F" w14:textId="7720F4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3774" w14:textId="659B0EC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176D" w14:textId="553003E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  <w:tr w:rsidR="567124F1" w14:paraId="2E766410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15C" w14:textId="41100E0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1A34" w14:textId="5100DF3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D786" w14:textId="7704577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9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FA55F6" w14:textId="77777777" w:rsidR="00616CDC" w:rsidRDefault="00616CDC"/>
        </w:tc>
      </w:tr>
      <w:tr w:rsidR="567124F1" w14:paraId="4BEB215E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6D69" w14:textId="52F54A29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0BD" w14:textId="55C2608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DAC6" w14:textId="44998ED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FE7E5" w14:textId="77777777" w:rsidR="00616CDC" w:rsidRDefault="00616CDC"/>
        </w:tc>
      </w:tr>
    </w:tbl>
    <w:p w14:paraId="09061008" w14:textId="523BF910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3. Wymagania wstępne, z uwzględnieniem sekwencyjności zajęć</w:t>
      </w:r>
    </w:p>
    <w:p w14:paraId="6A1BBC2D" w14:textId="3861FE2B" w:rsidR="1126B81F" w:rsidRDefault="1126B81F" w:rsidP="567124F1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-</w:t>
      </w:r>
    </w:p>
    <w:p w14:paraId="72BF3ECD" w14:textId="1851B096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4.  Cele kształcenia</w:t>
      </w:r>
    </w:p>
    <w:p w14:paraId="12BD7522" w14:textId="75E145D7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C1 - zdobycie wiedzy praktycznej przygotowującej do wykonywania zawodu</w:t>
      </w:r>
    </w:p>
    <w:p w14:paraId="5678F9F0" w14:textId="3BD13F2B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C2 - zastosowanie w praktyce umiejętności zdobytych na zajęciach</w:t>
      </w:r>
    </w:p>
    <w:p w14:paraId="00F618ED" w14:textId="4FEBF630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C3 - nabywanie umiejętności pracy indywidualnej i w zespole </w:t>
      </w:r>
    </w:p>
    <w:p w14:paraId="375A4752" w14:textId="5DBE011A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C4 - przygotowanie do uczenia się przez całe życie oraz do podjęcia pracy w zawodzie</w:t>
      </w:r>
    </w:p>
    <w:p w14:paraId="60178050" w14:textId="5FC57A0E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C5 - 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</w:r>
    </w:p>
    <w:p w14:paraId="55115D0A" w14:textId="0339DEA3" w:rsidR="567124F1" w:rsidRDefault="567124F1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434E1786" w14:textId="32456B78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5. Efekty uczenia się dla zajęć wraz z odniesieniem do efektów kierunkowych </w:t>
      </w: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821"/>
      </w:tblGrid>
      <w:tr w:rsidR="567124F1" w14:paraId="6A70FF43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8119" w14:textId="3208D271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4ECB" w14:textId="01E3F257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6A9A" w14:textId="494E3383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567124F1" w14:paraId="7FB90D4F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968B" w14:textId="3991E62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67124F1" w14:paraId="36255348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B4A6" w14:textId="1346A9A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66AB" w14:textId="26E2D48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 podstawową wiedzę  praktyczną obejmującą kluczowe zagadnienia z automatyki i robotyki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3F43" w14:textId="642C28DB" w:rsidR="567124F1" w:rsidRDefault="567124F1" w:rsidP="567124F1">
            <w:pPr>
              <w:spacing w:after="0" w:line="360" w:lineRule="auto"/>
              <w:ind w:right="-1016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K_W13</w:t>
            </w:r>
          </w:p>
        </w:tc>
      </w:tr>
      <w:tr w:rsidR="567124F1" w14:paraId="1493FCBA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E024" w14:textId="7B7768E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4C5" w14:textId="7FF4CDD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9497" w14:textId="23DB31B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K_W14, K_W15, K_W17, K_W18</w:t>
            </w:r>
          </w:p>
        </w:tc>
      </w:tr>
      <w:tr w:rsidR="567124F1" w14:paraId="2F9CE41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25BA" w14:textId="5BC13B9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567124F1" w14:paraId="0D3EAE6D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C723" w14:textId="4B8B9B0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21AE" w14:textId="247A3F2D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BDCE" w14:textId="230EFFB9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K_U08, K_U11, K_U20</w:t>
            </w:r>
          </w:p>
        </w:tc>
      </w:tr>
      <w:tr w:rsidR="567124F1" w14:paraId="2027D605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8995" w14:textId="1E26BBD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78C3" w14:textId="6268B4E3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00DF" w14:textId="1123C25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K_U02, K_U10,  K_U18, K_U21, K_U22, K_U26</w:t>
            </w:r>
          </w:p>
        </w:tc>
      </w:tr>
      <w:tr w:rsidR="567124F1" w14:paraId="31F2893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6C1F" w14:textId="6A1B022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67124F1" w14:paraId="54915A8A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11EA" w14:textId="52C69C3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4F4D" w14:textId="28014928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87B8" w14:textId="40218DC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67124F1" w14:paraId="752EA520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803DC" w14:textId="40DFA9D8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EBC" w14:textId="008BE071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E759" w14:textId="1F7EB08E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  <w:tr w:rsidR="567124F1" w14:paraId="61F9E880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692C" w14:textId="27FAA9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D230" w14:textId="6161D4CC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829F" w14:textId="6F32E4A5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K_K02, K_K03, K_K05, K_K06</w:t>
            </w:r>
          </w:p>
        </w:tc>
      </w:tr>
    </w:tbl>
    <w:p w14:paraId="131E2A5D" w14:textId="48D7C02F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6. Treści programowe  oraz liczba godzin na poszczególnych formach zajęć </w:t>
      </w:r>
      <w:r w:rsidRPr="567124F1">
        <w:rPr>
          <w:rFonts w:ascii="Cambria" w:eastAsia="Cambria" w:hAnsi="Cambria" w:cs="Cambria"/>
          <w:color w:val="000000" w:themeColor="text1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2"/>
        <w:gridCol w:w="6245"/>
        <w:gridCol w:w="1226"/>
        <w:gridCol w:w="1517"/>
      </w:tblGrid>
      <w:tr w:rsidR="567124F1" w14:paraId="502F1F25" w14:textId="77777777" w:rsidTr="567124F1">
        <w:trPr>
          <w:trHeight w:val="330"/>
        </w:trPr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284E" w14:textId="0C5DF2F5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C3DC" w14:textId="1FF5173F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Treści praktyk 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10E2" w14:textId="50A48CF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567124F1" w14:paraId="31B46453" w14:textId="77777777" w:rsidTr="567124F1">
        <w:trPr>
          <w:trHeight w:val="195"/>
        </w:trPr>
        <w:tc>
          <w:tcPr>
            <w:tcW w:w="64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3C398" w14:textId="77777777" w:rsidR="00616CDC" w:rsidRDefault="00616CDC"/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C62B8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C49E" w14:textId="3894335F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0FE" w14:textId="40434B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67124F1" w14:paraId="49CEB851" w14:textId="77777777" w:rsidTr="567124F1">
        <w:trPr>
          <w:trHeight w:val="2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AD58" w14:textId="2C5B20D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AA77" w14:textId="1C79D04B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0E6669A4" w14:textId="5CE1BC28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1) wiedzy z zakresu zasad mechaniki oraz projektowania z wykorzystaniem nowoczesnych narzędzi obliczeniowych oraz do realizacji procesów wytwarzania, montażu i eksploatacji maszyn oraz nadzoru nad ich eksploatacją,</w:t>
            </w:r>
          </w:p>
          <w:p w14:paraId="2041DCC3" w14:textId="5AFC3527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umiejętności wspomagania prac związanych z projektowaniem maszyn jak również doboru materiałów inżynierskich stosowanych jako elementy maszyn, </w:t>
            </w:r>
          </w:p>
          <w:p w14:paraId="2A94B286" w14:textId="6855557A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umiejętności sprawnego posługiwania się nowoczesnymi technikami komputerowymi, twórczego rozwiązywania problemów technicznych, kreowania innowacji,</w:t>
            </w:r>
          </w:p>
          <w:p w14:paraId="49263E83" w14:textId="56369461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umiejętności modelowania, projektowania i wytwarzania wyrobów </w:t>
            </w:r>
          </w:p>
          <w:p w14:paraId="3EC0EE69" w14:textId="4D5FFA96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 oparciu  komputerowe systemy klasy CAD/CAM/CAE,</w:t>
            </w:r>
          </w:p>
          <w:p w14:paraId="79582749" w14:textId="173DDB1C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iedzy z zakresu eksploatowania i serwisu układów mechatronicznych oraz maszyn i urządzeń, w których są one zastosowane,</w:t>
            </w:r>
          </w:p>
          <w:p w14:paraId="338799EA" w14:textId="06B995C4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6) umiejętności opracowywania i wdrażania nowych wyrobów</w:t>
            </w:r>
            <w:r w:rsidR="00720635"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wykorzystaniem najnowszych technik komputerowych, programowania maszyn i urządzeń wytwórczych oraz technicznego przygotowania produkcji, planowania, organizacji i zarządzania,</w:t>
            </w:r>
          </w:p>
          <w:p w14:paraId="30A6E23C" w14:textId="576AFA12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iejętności projektowania, wytwarzaniu i eksploatacji produktów oraz analizy produktów w ich rzeczywistym otoczeniu,</w:t>
            </w:r>
          </w:p>
          <w:p w14:paraId="741DF5C6" w14:textId="77777777" w:rsidR="00720635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8)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1DA08B30" w14:textId="3EBCC403" w:rsidR="314FBD4D" w:rsidRDefault="00720635" w:rsidP="00720635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9) </w:t>
            </w:r>
            <w:r w:rsidR="314FBD4D" w:rsidRPr="567124F1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technicznej,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3D85" w14:textId="0D25D631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40B7" w14:textId="61EEEF5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26FDF8BD" w14:textId="77777777" w:rsidTr="567124F1">
        <w:trPr>
          <w:trHeight w:val="27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E8A3" w14:textId="7C3D4839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2C992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760C" w14:textId="61455C0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3C6B" w14:textId="04B35718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559D5C75" w14:textId="77777777" w:rsidTr="567124F1">
        <w:trPr>
          <w:trHeight w:val="34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F9F0" w14:textId="5E5FDDD7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1F12C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C26C3" w14:textId="6C845A7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1153" w14:textId="0758E6E2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61997E26" w14:textId="77777777" w:rsidTr="567124F1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2265" w14:textId="71E1868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885C" w14:textId="7157A754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praktyki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D980" w14:textId="344BD3DB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4215" w14:textId="4971C8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</w:tbl>
    <w:p w14:paraId="5489D241" w14:textId="038ED44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567124F1" w14:paraId="1FB07550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1F80" w14:textId="2FDCCA19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337D" w14:textId="07A90E5D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Metody dydaktyczne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D1D4" w14:textId="15CA28C1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b/>
                <w:bCs/>
              </w:rPr>
              <w:t>Ś</w:t>
            </w:r>
            <w:r w:rsidRPr="567124F1">
              <w:rPr>
                <w:rFonts w:ascii="Cambria" w:eastAsia="Cambria" w:hAnsi="Cambria" w:cs="Cambria"/>
                <w:b/>
                <w:bCs/>
              </w:rPr>
              <w:t>rodki dydaktyczne</w:t>
            </w:r>
          </w:p>
        </w:tc>
      </w:tr>
      <w:tr w:rsidR="567124F1" w14:paraId="1BA5910F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728A" w14:textId="0FE00E33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Praktyki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C688" w14:textId="2F208D94" w:rsidR="567124F1" w:rsidRDefault="567124F1" w:rsidP="567124F1">
            <w:pPr>
              <w:spacing w:after="0" w:line="240" w:lineRule="auto"/>
              <w:contextualSpacing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prezentacja urządzeń, analiza dokumentacji technicznej, ćwiczenia doskonalące ich obsługę</w:t>
            </w:r>
            <w:r w:rsidRPr="567124F1">
              <w:rPr>
                <w:sz w:val="20"/>
                <w:szCs w:val="20"/>
              </w:rPr>
              <w:t>, ćwiczenia doskonalące obsł</w:t>
            </w:r>
            <w:r w:rsidRPr="567124F1">
              <w:rPr>
                <w:rFonts w:ascii="Cambria" w:eastAsia="Cambria" w:hAnsi="Cambria" w:cs="Cambria"/>
                <w:sz w:val="20"/>
                <w:szCs w:val="20"/>
              </w:rPr>
              <w:t>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723" w14:textId="264C5B0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6F0C2ED9" w14:textId="1998F25B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 Sposoby (metody) weryfikacji i oceny efektów uczenia się osiągniętych przez studenta</w:t>
      </w:r>
    </w:p>
    <w:p w14:paraId="1B5AD6AA" w14:textId="38357AA7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567124F1" w14:paraId="1445393A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C56B" w14:textId="0D85134D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4C6" w14:textId="1FE1F78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67124F1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86F" w14:textId="12529471" w:rsidR="567124F1" w:rsidRDefault="567124F1" w:rsidP="567124F1">
            <w:pPr>
              <w:spacing w:before="20" w:after="20" w:line="240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67124F1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kształcenia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67124F1" w14:paraId="5A765FEC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2EFC" w14:textId="003B663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8956" w14:textId="2804584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F2 – obserwacja/aktywność</w:t>
            </w:r>
          </w:p>
          <w:p w14:paraId="7B1808D5" w14:textId="09C4E4C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F5 - ćwiczenia praktyczne</w:t>
            </w:r>
          </w:p>
          <w:p w14:paraId="2EC6E05D" w14:textId="4404361C" w:rsidR="567124F1" w:rsidRDefault="567124F1" w:rsidP="567124F1">
            <w:pPr>
              <w:spacing w:before="60" w:after="60" w:line="240" w:lineRule="auto"/>
              <w:rPr>
                <w:sz w:val="23"/>
                <w:szCs w:val="23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F6 - dokumentacja praktyki</w:t>
            </w:r>
            <w:r w:rsidRPr="567124F1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9C3E" w14:textId="38917CDE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43862204" w14:textId="0487D446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695094B4" w14:textId="05B66B9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13"/>
        <w:gridCol w:w="1492"/>
        <w:gridCol w:w="1492"/>
        <w:gridCol w:w="1506"/>
        <w:gridCol w:w="1636"/>
        <w:gridCol w:w="1492"/>
      </w:tblGrid>
      <w:tr w:rsidR="567124F1" w14:paraId="1A4E856E" w14:textId="77777777" w:rsidTr="567124F1">
        <w:trPr>
          <w:trHeight w:val="135"/>
        </w:trPr>
        <w:tc>
          <w:tcPr>
            <w:tcW w:w="20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20552" w14:textId="1AC7848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61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5E988AB" w14:textId="51E68A9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567124F1">
              <w:rPr>
                <w:rFonts w:ascii="Cambria" w:eastAsia="Cambria" w:hAnsi="Cambria" w:cs="Cambria"/>
                <w:sz w:val="18"/>
                <w:szCs w:val="18"/>
              </w:rPr>
              <w:t>praktyki</w:t>
            </w:r>
          </w:p>
        </w:tc>
      </w:tr>
      <w:tr w:rsidR="567124F1" w14:paraId="0EC68823" w14:textId="77777777" w:rsidTr="567124F1">
        <w:trPr>
          <w:trHeight w:val="315"/>
        </w:trPr>
        <w:tc>
          <w:tcPr>
            <w:tcW w:w="201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60DB774" w14:textId="77777777" w:rsidR="00616CDC" w:rsidRDefault="00616CDC"/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CBCC5A" w14:textId="324F0B89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837081" w14:textId="7882093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F5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52613" w14:textId="2414E3D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F6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90A18F" w14:textId="3AD1A8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55F57" w14:textId="2B8A52A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P6</w:t>
            </w:r>
          </w:p>
        </w:tc>
      </w:tr>
      <w:tr w:rsidR="567124F1" w14:paraId="23AFCE6F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38493E" w14:textId="764A0D0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9EF2A65" w14:textId="3DEB0B7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61E063" w14:textId="7AB5850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6DBD60" w14:textId="45B4FD6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E3315" w14:textId="090D2EF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4213F9" w14:textId="6F1E56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85C756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F3A4DF" w14:textId="015E352C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413D4F" w14:textId="7EEFF7C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4C366" w14:textId="3E321F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0E49D" w14:textId="263C873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FB658" w14:textId="190FD12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42F5B" w14:textId="32BAD87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29C3A53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7D6958" w14:textId="5EE040D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D29B97A" w14:textId="3B1FCA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0D536" w14:textId="102139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0C36F1" w14:textId="65C2694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DB81B8" w14:textId="78D0476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6635A" w14:textId="5C20F21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E8E4329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2791CF" w14:textId="643C991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71B3F28" w14:textId="198A675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221577" w14:textId="5BB2970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C3EE59" w14:textId="456843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C0DDB3" w14:textId="32F6AA3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861FA4" w14:textId="437F973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71DEFFF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A5C8F" w14:textId="3DF8A86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2AE0912" w14:textId="69B711E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0D252" w14:textId="6D583AE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29B22F" w14:textId="68529B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1C7F65" w14:textId="1AF206F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9737B" w14:textId="12A8456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3867C4AE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2AC68F" w14:textId="166B016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CCC3D91" w14:textId="7FD1E00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5F5935" w14:textId="22005F2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62A9B5" w14:textId="40393FA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17A6C4" w14:textId="7A9290B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D3762" w14:textId="2FF6DB6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0FD5698D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5C01BD" w14:textId="1B976C3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FFAEF6E" w14:textId="72B9D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708146" w14:textId="040DA6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2FE15" w14:textId="75529FD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D7B80A" w14:textId="02D5106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CCDF8C" w14:textId="52952D8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</w:tbl>
    <w:p w14:paraId="5602E1E5" w14:textId="534F6FE0" w:rsidR="1126B81F" w:rsidRDefault="1126B81F" w:rsidP="567124F1">
      <w:pPr>
        <w:pStyle w:val="Nagwek1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9. Opis sposobu ustalania oceny końcowej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061C0FF" w14:textId="21F03A7C" w:rsidR="1126B81F" w:rsidRDefault="1126B81F" w:rsidP="567124F1">
      <w:pPr>
        <w:pStyle w:val="karta"/>
        <w:rPr>
          <w:rFonts w:eastAsia="Times New Roman"/>
          <w:color w:val="000000" w:themeColor="text1"/>
        </w:rPr>
      </w:pPr>
      <w:r w:rsidRPr="567124F1">
        <w:rPr>
          <w:rFonts w:eastAsia="Times New Roman"/>
          <w:b/>
          <w:bCs/>
          <w:color w:val="000000" w:themeColor="text1"/>
        </w:rPr>
        <w:t>Zaliczenie:</w:t>
      </w:r>
    </w:p>
    <w:p w14:paraId="11F28DD7" w14:textId="219882F2" w:rsidR="1126B81F" w:rsidRDefault="1126B81F" w:rsidP="567124F1">
      <w:pPr>
        <w:pStyle w:val="karta"/>
        <w:rPr>
          <w:rFonts w:ascii="Cambria" w:eastAsia="Cambria" w:hAnsi="Cambria" w:cs="Cambria"/>
          <w:color w:val="000000" w:themeColor="text1"/>
        </w:rPr>
      </w:pPr>
      <w:r w:rsidRPr="567124F1">
        <w:rPr>
          <w:rFonts w:eastAsia="Times New Roman"/>
          <w:color w:val="000000" w:themeColor="text1"/>
        </w:rPr>
        <w:lastRenderedPageBreak/>
        <w:t xml:space="preserve">Zaliczenie odbywa się na podstawie karty praktyki. Oceniane jest wypełnienie zapisów </w:t>
      </w:r>
      <w:r w:rsidRPr="567124F1">
        <w:rPr>
          <w:rFonts w:ascii="Cambria" w:eastAsia="Cambria" w:hAnsi="Cambria" w:cs="Cambria"/>
          <w:color w:val="000000" w:themeColor="text1"/>
        </w:rPr>
        <w:t>Regulaminu Praktyk</w:t>
      </w: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 </w:t>
      </w:r>
      <w:r w:rsidRPr="567124F1">
        <w:rPr>
          <w:rFonts w:ascii="Cambria" w:eastAsia="Cambria" w:hAnsi="Cambria" w:cs="Cambria"/>
          <w:color w:val="000000" w:themeColor="text1"/>
        </w:rPr>
        <w:t>oraz Programu Praktyk.</w:t>
      </w:r>
    </w:p>
    <w:p w14:paraId="4FC2B79C" w14:textId="61704F76" w:rsidR="567124F1" w:rsidRDefault="567124F1" w:rsidP="567124F1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4B7C5AA" w14:textId="71A7B07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10. Forma zaliczenia zajęć</w:t>
      </w:r>
    </w:p>
    <w:p w14:paraId="7017B193" w14:textId="2376875F" w:rsidR="1126B81F" w:rsidRDefault="1126B81F" w:rsidP="567124F1">
      <w:pPr>
        <w:spacing w:before="120" w:after="12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</w:rPr>
        <w:t xml:space="preserve">- </w:t>
      </w: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forma zaliczenia / egzaminu </w:t>
      </w:r>
    </w:p>
    <w:p w14:paraId="3456D5A1" w14:textId="4D282F6E" w:rsidR="1126B81F" w:rsidRDefault="1126B81F" w:rsidP="567124F1">
      <w:pPr>
        <w:pStyle w:val="karta"/>
        <w:rPr>
          <w:rFonts w:eastAsia="Times New Roman"/>
          <w:color w:val="000000" w:themeColor="text1"/>
        </w:rPr>
      </w:pPr>
      <w:r w:rsidRPr="567124F1">
        <w:rPr>
          <w:rFonts w:eastAsia="Times New Roman"/>
          <w:b/>
          <w:bCs/>
          <w:color w:val="000000" w:themeColor="text1"/>
        </w:rPr>
        <w:t>Zaliczenie bez oceny</w:t>
      </w:r>
    </w:p>
    <w:p w14:paraId="36F887B8" w14:textId="194DDC5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11. Obciążenie pracą studenta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>(sposób wyznaczenia punktów ECTS):</w:t>
      </w:r>
    </w:p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5766"/>
        <w:gridCol w:w="1932"/>
        <w:gridCol w:w="1933"/>
      </w:tblGrid>
      <w:tr w:rsidR="567124F1" w14:paraId="7792489B" w14:textId="77777777" w:rsidTr="002A70BD">
        <w:trPr>
          <w:trHeight w:val="285"/>
        </w:trPr>
        <w:tc>
          <w:tcPr>
            <w:tcW w:w="576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2DA08" w14:textId="332E9399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aktywności studenta</w:t>
            </w:r>
          </w:p>
        </w:tc>
        <w:tc>
          <w:tcPr>
            <w:tcW w:w="386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9C493F" w14:textId="4F465945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567124F1" w14:paraId="02166ADA" w14:textId="77777777" w:rsidTr="002A70BD">
        <w:trPr>
          <w:trHeight w:val="285"/>
        </w:trPr>
        <w:tc>
          <w:tcPr>
            <w:tcW w:w="576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E6CEE1" w14:textId="77777777" w:rsidR="00616CDC" w:rsidRDefault="00616CDC"/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55EEA3" w14:textId="53F92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981F90" w14:textId="481E39D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567124F1" w14:paraId="73F26E0D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63B9D6" w14:textId="0543CED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Godziny kontaktowe studenta (w ramach zajęć):</w:t>
            </w:r>
          </w:p>
        </w:tc>
      </w:tr>
      <w:tr w:rsidR="567124F1" w14:paraId="0D9080F9" w14:textId="77777777" w:rsidTr="002A70BD">
        <w:trPr>
          <w:trHeight w:val="285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578F4C" w14:textId="5C3BEBAF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A5847CC" w14:textId="7CBEB8A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F673FA" w14:textId="2025FC1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</w:tr>
      <w:tr w:rsidR="567124F1" w14:paraId="740CFA14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9769E3" w14:textId="1D6899C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Praca własna studenta (indywidualna praca studenta związana z zajęciami):</w:t>
            </w:r>
          </w:p>
        </w:tc>
      </w:tr>
      <w:tr w:rsidR="567124F1" w14:paraId="2D2A21AA" w14:textId="77777777" w:rsidTr="002A70BD">
        <w:trPr>
          <w:trHeight w:val="360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A954F" w14:textId="227FC43D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A822CA" w14:textId="3E5647F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032B23" w14:textId="0D5C8D3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  <w:tr w:rsidR="567124F1" w14:paraId="4316D634" w14:textId="77777777" w:rsidTr="002A70BD"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ED107A" w14:textId="0F5A889B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890991" w14:textId="38DEF0F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EDAF61" w14:textId="705AE2F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</w:tbl>
    <w:p w14:paraId="0E4BB1E1" w14:textId="092929EE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567124F1" w14:paraId="26C5D8C4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42F3D" w14:textId="082F7531" w:rsidR="567124F1" w:rsidRDefault="567124F1" w:rsidP="567124F1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FACAF4D" w14:textId="0146B6C3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Regulamin praktyk</w:t>
            </w:r>
          </w:p>
          <w:p w14:paraId="6CCF7974" w14:textId="24E2DD5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Program praktyk</w:t>
            </w:r>
          </w:p>
          <w:p w14:paraId="0805F0FC" w14:textId="1812BAA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Przepisy ogólne i wewnętrzne w zakresie zajmowanego stanowiska pracy</w:t>
            </w:r>
          </w:p>
          <w:p w14:paraId="30199E92" w14:textId="27741E89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zalecone przez przełożonych jako obowiązkowe</w:t>
            </w:r>
          </w:p>
        </w:tc>
      </w:tr>
      <w:tr w:rsidR="567124F1" w14:paraId="13039F7A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5AB93" w14:textId="1C52051E" w:rsidR="567124F1" w:rsidRDefault="567124F1" w:rsidP="567124F1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A8DD8C4" w14:textId="1248B177" w:rsidR="567124F1" w:rsidRDefault="567124F1" w:rsidP="567124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71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2BB5BA00" w14:textId="21C11B37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567124F1" w14:paraId="04A183B0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4BE32" w14:textId="3C298FE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BCA484" w14:textId="05BDFE3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Rafał Różański</w:t>
            </w:r>
          </w:p>
        </w:tc>
      </w:tr>
      <w:tr w:rsidR="567124F1" w14:paraId="5FEE4DF5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1D9832" w14:textId="0182BD6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5CF22C" w14:textId="0A4D229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10.06.</w:t>
            </w:r>
            <w:r w:rsidR="00304848"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</w:tc>
      </w:tr>
      <w:tr w:rsidR="567124F1" w14:paraId="78DD5B47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7E3F3" w14:textId="337737F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9A37E9" w14:textId="35B1FE58" w:rsidR="567124F1" w:rsidRDefault="00000000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11">
              <w:r w:rsidR="567124F1" w:rsidRPr="567124F1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rrozanski@ajp.edu.pl</w:t>
              </w:r>
            </w:hyperlink>
          </w:p>
        </w:tc>
      </w:tr>
      <w:tr w:rsidR="567124F1" w14:paraId="00247C4F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3803B" w14:textId="7DAF2B1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348A0" w14:textId="0B4D6721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35CF5F9" w14:textId="41F55315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122C412B" w14:textId="385A9860" w:rsidR="567124F1" w:rsidRDefault="567124F1" w:rsidP="567124F1">
      <w:pPr>
        <w:spacing w:after="0"/>
      </w:pPr>
    </w:p>
    <w:sectPr w:rsidR="567124F1" w:rsidSect="006C4168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FDBA" w14:textId="77777777" w:rsidR="00B51FAE" w:rsidRDefault="00B51FAE">
      <w:r>
        <w:separator/>
      </w:r>
    </w:p>
  </w:endnote>
  <w:endnote w:type="continuationSeparator" w:id="0">
    <w:p w14:paraId="167E0666" w14:textId="77777777" w:rsidR="00B51FAE" w:rsidRDefault="00B5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9FDD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DB8A" w14:textId="77777777" w:rsidR="00B51FAE" w:rsidRDefault="00B51FAE">
      <w:r>
        <w:separator/>
      </w:r>
    </w:p>
  </w:footnote>
  <w:footnote w:type="continuationSeparator" w:id="0">
    <w:p w14:paraId="7A3318C5" w14:textId="77777777" w:rsidR="00B51FAE" w:rsidRDefault="00B5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2C50" w14:textId="17AF0BBD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816A679" w14:textId="77777777" w:rsidR="00C755C9" w:rsidRPr="00AE4C6E" w:rsidRDefault="00C755C9" w:rsidP="00C755C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7FD2647" w14:textId="29FFD168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833A62"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 w:rsidR="00304848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5B26614" w14:textId="6FC557D7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833A62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304848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458FD9C" w14:textId="77777777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65C11C"/>
    <w:multiLevelType w:val="hybridMultilevel"/>
    <w:tmpl w:val="0F5CB07E"/>
    <w:lvl w:ilvl="0" w:tplc="79621186">
      <w:start w:val="1"/>
      <w:numFmt w:val="decimal"/>
      <w:lvlText w:val="%1."/>
      <w:lvlJc w:val="left"/>
      <w:pPr>
        <w:ind w:left="720" w:hanging="360"/>
      </w:pPr>
    </w:lvl>
    <w:lvl w:ilvl="1" w:tplc="8C644EE0">
      <w:start w:val="1"/>
      <w:numFmt w:val="lowerLetter"/>
      <w:lvlText w:val="%2."/>
      <w:lvlJc w:val="left"/>
      <w:pPr>
        <w:ind w:left="1440" w:hanging="360"/>
      </w:pPr>
    </w:lvl>
    <w:lvl w:ilvl="2" w:tplc="4C76ACBC">
      <w:start w:val="1"/>
      <w:numFmt w:val="lowerRoman"/>
      <w:lvlText w:val="%3."/>
      <w:lvlJc w:val="right"/>
      <w:pPr>
        <w:ind w:left="2160" w:hanging="180"/>
      </w:pPr>
    </w:lvl>
    <w:lvl w:ilvl="3" w:tplc="20F24748">
      <w:start w:val="1"/>
      <w:numFmt w:val="decimal"/>
      <w:lvlText w:val="%4."/>
      <w:lvlJc w:val="left"/>
      <w:pPr>
        <w:ind w:left="2880" w:hanging="360"/>
      </w:pPr>
    </w:lvl>
    <w:lvl w:ilvl="4" w:tplc="004EF9D0">
      <w:start w:val="1"/>
      <w:numFmt w:val="lowerLetter"/>
      <w:lvlText w:val="%5."/>
      <w:lvlJc w:val="left"/>
      <w:pPr>
        <w:ind w:left="3600" w:hanging="360"/>
      </w:pPr>
    </w:lvl>
    <w:lvl w:ilvl="5" w:tplc="4D18ECAA">
      <w:start w:val="1"/>
      <w:numFmt w:val="lowerRoman"/>
      <w:lvlText w:val="%6."/>
      <w:lvlJc w:val="right"/>
      <w:pPr>
        <w:ind w:left="4320" w:hanging="180"/>
      </w:pPr>
    </w:lvl>
    <w:lvl w:ilvl="6" w:tplc="C0680BC4">
      <w:start w:val="1"/>
      <w:numFmt w:val="decimal"/>
      <w:lvlText w:val="%7."/>
      <w:lvlJc w:val="left"/>
      <w:pPr>
        <w:ind w:left="5040" w:hanging="360"/>
      </w:pPr>
    </w:lvl>
    <w:lvl w:ilvl="7" w:tplc="B232DAC6">
      <w:start w:val="1"/>
      <w:numFmt w:val="lowerLetter"/>
      <w:lvlText w:val="%8."/>
      <w:lvlJc w:val="left"/>
      <w:pPr>
        <w:ind w:left="5760" w:hanging="360"/>
      </w:pPr>
    </w:lvl>
    <w:lvl w:ilvl="8" w:tplc="76249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01CA1"/>
    <w:multiLevelType w:val="hybridMultilevel"/>
    <w:tmpl w:val="592C80F2"/>
    <w:lvl w:ilvl="0" w:tplc="33C0AF72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2B8E6B34">
      <w:start w:val="1"/>
      <w:numFmt w:val="lowerLetter"/>
      <w:lvlText w:val="%2."/>
      <w:lvlJc w:val="left"/>
      <w:pPr>
        <w:ind w:left="1440" w:hanging="360"/>
      </w:pPr>
    </w:lvl>
    <w:lvl w:ilvl="2" w:tplc="31108874">
      <w:start w:val="1"/>
      <w:numFmt w:val="lowerRoman"/>
      <w:lvlText w:val="%3."/>
      <w:lvlJc w:val="right"/>
      <w:pPr>
        <w:ind w:left="2160" w:hanging="180"/>
      </w:pPr>
    </w:lvl>
    <w:lvl w:ilvl="3" w:tplc="602040AE">
      <w:start w:val="1"/>
      <w:numFmt w:val="decimal"/>
      <w:lvlText w:val="%4."/>
      <w:lvlJc w:val="left"/>
      <w:pPr>
        <w:ind w:left="2880" w:hanging="360"/>
      </w:pPr>
    </w:lvl>
    <w:lvl w:ilvl="4" w:tplc="DCA41E7E">
      <w:start w:val="1"/>
      <w:numFmt w:val="lowerLetter"/>
      <w:lvlText w:val="%5."/>
      <w:lvlJc w:val="left"/>
      <w:pPr>
        <w:ind w:left="3600" w:hanging="360"/>
      </w:pPr>
    </w:lvl>
    <w:lvl w:ilvl="5" w:tplc="140C5C70">
      <w:start w:val="1"/>
      <w:numFmt w:val="lowerRoman"/>
      <w:lvlText w:val="%6."/>
      <w:lvlJc w:val="right"/>
      <w:pPr>
        <w:ind w:left="4320" w:hanging="180"/>
      </w:pPr>
    </w:lvl>
    <w:lvl w:ilvl="6" w:tplc="A3D8038A">
      <w:start w:val="1"/>
      <w:numFmt w:val="decimal"/>
      <w:lvlText w:val="%7."/>
      <w:lvlJc w:val="left"/>
      <w:pPr>
        <w:ind w:left="5040" w:hanging="360"/>
      </w:pPr>
    </w:lvl>
    <w:lvl w:ilvl="7" w:tplc="07827096">
      <w:start w:val="1"/>
      <w:numFmt w:val="lowerLetter"/>
      <w:lvlText w:val="%8."/>
      <w:lvlJc w:val="left"/>
      <w:pPr>
        <w:ind w:left="5760" w:hanging="360"/>
      </w:pPr>
    </w:lvl>
    <w:lvl w:ilvl="8" w:tplc="CBE231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893485">
    <w:abstractNumId w:val="9"/>
  </w:num>
  <w:num w:numId="2" w16cid:durableId="1458989967">
    <w:abstractNumId w:val="5"/>
  </w:num>
  <w:num w:numId="3" w16cid:durableId="169298639">
    <w:abstractNumId w:val="7"/>
  </w:num>
  <w:num w:numId="4" w16cid:durableId="21437804">
    <w:abstractNumId w:val="1"/>
  </w:num>
  <w:num w:numId="5" w16cid:durableId="275872906">
    <w:abstractNumId w:val="1"/>
    <w:lvlOverride w:ilvl="0">
      <w:startOverride w:val="1"/>
    </w:lvlOverride>
  </w:num>
  <w:num w:numId="6" w16cid:durableId="2106418107">
    <w:abstractNumId w:val="3"/>
  </w:num>
  <w:num w:numId="7" w16cid:durableId="97531614">
    <w:abstractNumId w:val="3"/>
    <w:lvlOverride w:ilvl="0">
      <w:startOverride w:val="1"/>
    </w:lvlOverride>
  </w:num>
  <w:num w:numId="8" w16cid:durableId="761990133">
    <w:abstractNumId w:val="8"/>
  </w:num>
  <w:num w:numId="9" w16cid:durableId="1644968891">
    <w:abstractNumId w:val="6"/>
  </w:num>
  <w:num w:numId="10" w16cid:durableId="508718929">
    <w:abstractNumId w:val="4"/>
  </w:num>
  <w:num w:numId="11" w16cid:durableId="1141077169">
    <w:abstractNumId w:val="10"/>
  </w:num>
  <w:num w:numId="12" w16cid:durableId="1903175056">
    <w:abstractNumId w:val="2"/>
  </w:num>
  <w:num w:numId="13" w16cid:durableId="91536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A70BD"/>
    <w:rsid w:val="002B20F7"/>
    <w:rsid w:val="002C1F67"/>
    <w:rsid w:val="002F30C2"/>
    <w:rsid w:val="00304848"/>
    <w:rsid w:val="00310E4B"/>
    <w:rsid w:val="00325B61"/>
    <w:rsid w:val="00344586"/>
    <w:rsid w:val="00357224"/>
    <w:rsid w:val="003676DE"/>
    <w:rsid w:val="00396783"/>
    <w:rsid w:val="003B0DC5"/>
    <w:rsid w:val="003D068B"/>
    <w:rsid w:val="003D6549"/>
    <w:rsid w:val="003D6E43"/>
    <w:rsid w:val="004029FD"/>
    <w:rsid w:val="004047A8"/>
    <w:rsid w:val="004311AC"/>
    <w:rsid w:val="00483C34"/>
    <w:rsid w:val="00484E59"/>
    <w:rsid w:val="00490C6E"/>
    <w:rsid w:val="00490FC9"/>
    <w:rsid w:val="00493966"/>
    <w:rsid w:val="004C58CF"/>
    <w:rsid w:val="004C6B77"/>
    <w:rsid w:val="00502376"/>
    <w:rsid w:val="005055B4"/>
    <w:rsid w:val="0051776F"/>
    <w:rsid w:val="00533C25"/>
    <w:rsid w:val="00562F0E"/>
    <w:rsid w:val="00563503"/>
    <w:rsid w:val="005673E0"/>
    <w:rsid w:val="0057521C"/>
    <w:rsid w:val="005B090F"/>
    <w:rsid w:val="005C6AD8"/>
    <w:rsid w:val="005E283E"/>
    <w:rsid w:val="005E6FA1"/>
    <w:rsid w:val="005F490A"/>
    <w:rsid w:val="00612DBA"/>
    <w:rsid w:val="00616CDC"/>
    <w:rsid w:val="00642A0F"/>
    <w:rsid w:val="00661631"/>
    <w:rsid w:val="006740EC"/>
    <w:rsid w:val="006C4168"/>
    <w:rsid w:val="006F693A"/>
    <w:rsid w:val="00703BEF"/>
    <w:rsid w:val="00706105"/>
    <w:rsid w:val="00720635"/>
    <w:rsid w:val="00720DB7"/>
    <w:rsid w:val="007316D4"/>
    <w:rsid w:val="00733AFC"/>
    <w:rsid w:val="0075275A"/>
    <w:rsid w:val="00766952"/>
    <w:rsid w:val="00781021"/>
    <w:rsid w:val="00781DA9"/>
    <w:rsid w:val="007B53F0"/>
    <w:rsid w:val="00833A62"/>
    <w:rsid w:val="00855630"/>
    <w:rsid w:val="00861013"/>
    <w:rsid w:val="0089285D"/>
    <w:rsid w:val="008A2AA9"/>
    <w:rsid w:val="008A45B1"/>
    <w:rsid w:val="008B1275"/>
    <w:rsid w:val="008D08F7"/>
    <w:rsid w:val="008D4F1F"/>
    <w:rsid w:val="008F0676"/>
    <w:rsid w:val="008F3B1E"/>
    <w:rsid w:val="00982397"/>
    <w:rsid w:val="00983D9F"/>
    <w:rsid w:val="00986733"/>
    <w:rsid w:val="009A55D7"/>
    <w:rsid w:val="009C0F92"/>
    <w:rsid w:val="009D3DC3"/>
    <w:rsid w:val="009D5C09"/>
    <w:rsid w:val="00A15B85"/>
    <w:rsid w:val="00A40B7B"/>
    <w:rsid w:val="00A513BD"/>
    <w:rsid w:val="00A56C62"/>
    <w:rsid w:val="00A92464"/>
    <w:rsid w:val="00AA3625"/>
    <w:rsid w:val="00AC35EB"/>
    <w:rsid w:val="00AD222D"/>
    <w:rsid w:val="00AE6E64"/>
    <w:rsid w:val="00B01CF1"/>
    <w:rsid w:val="00B30116"/>
    <w:rsid w:val="00B42BCC"/>
    <w:rsid w:val="00B51B91"/>
    <w:rsid w:val="00B51FAE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C755C9"/>
    <w:rsid w:val="00D23045"/>
    <w:rsid w:val="00D365A6"/>
    <w:rsid w:val="00DA65C0"/>
    <w:rsid w:val="00DE0C1D"/>
    <w:rsid w:val="00E07DB9"/>
    <w:rsid w:val="00E1271D"/>
    <w:rsid w:val="00E33A1C"/>
    <w:rsid w:val="00E768CF"/>
    <w:rsid w:val="00EA21CD"/>
    <w:rsid w:val="00EE25B5"/>
    <w:rsid w:val="00EF1B0D"/>
    <w:rsid w:val="00F06C87"/>
    <w:rsid w:val="00F13F2B"/>
    <w:rsid w:val="00F55AC6"/>
    <w:rsid w:val="00F6280F"/>
    <w:rsid w:val="00FC0781"/>
    <w:rsid w:val="00FE4A92"/>
    <w:rsid w:val="0359DE87"/>
    <w:rsid w:val="0BA8B86B"/>
    <w:rsid w:val="1126B81F"/>
    <w:rsid w:val="314FBD4D"/>
    <w:rsid w:val="38A9A494"/>
    <w:rsid w:val="567124F1"/>
    <w:rsid w:val="5F5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97768"/>
  <w15:chartTrackingRefBased/>
  <w15:docId w15:val="{2A8DC57C-8E13-476D-831F-9DE58D9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basedOn w:val="Normalny"/>
    <w:uiPriority w:val="1"/>
    <w:rsid w:val="567124F1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rozanski@ajp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wkacalak@ajp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2854</Words>
  <Characters>17127</Characters>
  <Application>Microsoft Office Word</Application>
  <DocSecurity>0</DocSecurity>
  <Lines>142</Lines>
  <Paragraphs>39</Paragraphs>
  <ScaleCrop>false</ScaleCrop>
  <Company>Edukacja</Company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11</cp:revision>
  <cp:lastPrinted>2021-08-19T11:43:00Z</cp:lastPrinted>
  <dcterms:created xsi:type="dcterms:W3CDTF">2022-08-11T11:52:00Z</dcterms:created>
  <dcterms:modified xsi:type="dcterms:W3CDTF">2023-06-28T10:03:00Z</dcterms:modified>
</cp:coreProperties>
</file>